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cs="宋体"/>
          <w:b/>
          <w:color w:val="auto"/>
          <w:kern w:val="2"/>
          <w:sz w:val="32"/>
          <w:szCs w:val="32"/>
          <w:highlight w:val="none"/>
          <w:lang w:val="zh-CN" w:eastAsia="zh-CN" w:bidi="ar-SA"/>
        </w:rPr>
        <w:t>采</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购</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需</w:t>
      </w:r>
      <w:r>
        <w:rPr>
          <w:rFonts w:hint="eastAsia" w:ascii="宋体" w:hAnsi="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求</w:t>
      </w:r>
    </w:p>
    <w:p w14:paraId="72C8C3AC">
      <w:pPr>
        <w:widowControl/>
        <w:spacing w:line="500" w:lineRule="exact"/>
        <w:ind w:firstLine="482" w:firstLineChars="200"/>
        <w:jc w:val="left"/>
        <w:rPr>
          <w:rFonts w:hint="eastAsia" w:ascii="宋体" w:hAnsi="宋体" w:eastAsia="宋体" w:cs="宋体"/>
          <w:b/>
          <w:bCs/>
          <w:color w:val="auto"/>
          <w:sz w:val="24"/>
          <w:szCs w:val="24"/>
          <w:highlight w:val="none"/>
        </w:rPr>
      </w:pPr>
      <w:bookmarkStart w:id="2" w:name="_GoBack"/>
      <w:bookmarkEnd w:id="2"/>
    </w:p>
    <w:p w14:paraId="2EAD05F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4CD0326A">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color w:val="auto"/>
          <w:highlight w:val="none"/>
        </w:rPr>
      </w:pPr>
      <w:r>
        <w:rPr>
          <w:rFonts w:hint="eastAsia" w:ascii="宋体" w:hAnsi="宋体" w:eastAsia="宋体" w:cs="宋体"/>
          <w:b/>
          <w:bCs/>
          <w:color w:val="auto"/>
          <w:sz w:val="24"/>
          <w:szCs w:val="24"/>
          <w:highlight w:val="none"/>
        </w:rPr>
        <w:t>3、中标人提供的货物为进口产品的，供货时须向采购人提供所投进口产品的海关报关单等证明材料。</w:t>
      </w:r>
    </w:p>
    <w:p w14:paraId="19F5CF57">
      <w:pPr>
        <w:widowControl/>
        <w:numPr>
          <w:ilvl w:val="0"/>
          <w:numId w:val="1"/>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货物需求一览表</w:t>
      </w:r>
      <w:bookmarkStart w:id="0" w:name="_Hlk96158360"/>
      <w:bookmarkStart w:id="1" w:name="_Hlk106267351"/>
    </w:p>
    <w:tbl>
      <w:tblPr>
        <w:tblStyle w:val="3"/>
        <w:tblW w:w="5173" w:type="pct"/>
        <w:jc w:val="center"/>
        <w:tblLayout w:type="fixed"/>
        <w:tblCellMar>
          <w:top w:w="0" w:type="dxa"/>
          <w:left w:w="108" w:type="dxa"/>
          <w:bottom w:w="0" w:type="dxa"/>
          <w:right w:w="108" w:type="dxa"/>
        </w:tblCellMar>
      </w:tblPr>
      <w:tblGrid>
        <w:gridCol w:w="393"/>
        <w:gridCol w:w="856"/>
        <w:gridCol w:w="3226"/>
        <w:gridCol w:w="1016"/>
        <w:gridCol w:w="746"/>
        <w:gridCol w:w="1050"/>
        <w:gridCol w:w="1600"/>
        <w:gridCol w:w="723"/>
      </w:tblGrid>
      <w:tr w14:paraId="36DFFE9C">
        <w:tblPrEx>
          <w:tblCellMar>
            <w:top w:w="0" w:type="dxa"/>
            <w:left w:w="108" w:type="dxa"/>
            <w:bottom w:w="0" w:type="dxa"/>
            <w:right w:w="108" w:type="dxa"/>
          </w:tblCellMar>
        </w:tblPrEx>
        <w:trPr>
          <w:trHeight w:val="652" w:hRule="atLeast"/>
          <w:jc w:val="center"/>
        </w:trPr>
        <w:tc>
          <w:tcPr>
            <w:tcW w:w="204" w:type="pct"/>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445" w:type="pct"/>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bidi="ar"/>
              </w:rPr>
              <w:t>名称</w:t>
            </w:r>
          </w:p>
        </w:tc>
        <w:tc>
          <w:tcPr>
            <w:tcW w:w="1678" w:type="pct"/>
            <w:tcBorders>
              <w:top w:val="single" w:color="000000" w:sz="4" w:space="0"/>
              <w:left w:val="single" w:color="000000" w:sz="4" w:space="0"/>
              <w:bottom w:val="single" w:color="auto" w:sz="4" w:space="0"/>
              <w:right w:val="single" w:color="000000" w:sz="4" w:space="0"/>
            </w:tcBorders>
            <w:noWrap/>
            <w:vAlign w:val="center"/>
          </w:tcPr>
          <w:p w14:paraId="60F5B887">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规格</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单位</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1668B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bidi="ar"/>
              </w:rPr>
              <w:t>预估</w:t>
            </w:r>
            <w:r>
              <w:rPr>
                <w:rFonts w:hint="eastAsia" w:ascii="宋体" w:hAnsi="宋体" w:cs="宋体"/>
                <w:b/>
                <w:bCs/>
                <w:color w:val="auto"/>
                <w:kern w:val="0"/>
                <w:sz w:val="24"/>
                <w:szCs w:val="24"/>
                <w:highlight w:val="none"/>
                <w:lang w:val="en-US" w:eastAsia="zh-CN" w:bidi="ar"/>
              </w:rPr>
              <w:t>年</w:t>
            </w:r>
            <w:r>
              <w:rPr>
                <w:rFonts w:hint="eastAsia" w:ascii="宋体" w:hAnsi="宋体" w:eastAsia="宋体" w:cs="宋体"/>
                <w:b/>
                <w:bCs/>
                <w:color w:val="auto"/>
                <w:kern w:val="0"/>
                <w:sz w:val="24"/>
                <w:szCs w:val="24"/>
                <w:highlight w:val="none"/>
                <w:lang w:bidi="ar"/>
              </w:rPr>
              <w:t>使用量</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47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最高</w:t>
            </w:r>
            <w:r>
              <w:rPr>
                <w:rFonts w:hint="eastAsia" w:ascii="宋体" w:hAnsi="宋体" w:eastAsia="宋体" w:cs="宋体"/>
                <w:b/>
                <w:bCs/>
                <w:color w:val="auto"/>
                <w:kern w:val="0"/>
                <w:sz w:val="24"/>
                <w:szCs w:val="24"/>
                <w:highlight w:val="none"/>
                <w:lang w:bidi="ar"/>
              </w:rPr>
              <w:t>限价</w:t>
            </w: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单价</w:t>
            </w:r>
            <w:r>
              <w:rPr>
                <w:rFonts w:hint="eastAsia" w:ascii="宋体" w:hAnsi="宋体" w:eastAsia="宋体" w:cs="宋体"/>
                <w:b/>
                <w:bCs/>
                <w:color w:val="auto"/>
                <w:kern w:val="0"/>
                <w:sz w:val="24"/>
                <w:szCs w:val="24"/>
                <w:highlight w:val="none"/>
                <w:lang w:eastAsia="zh-CN" w:bidi="ar"/>
              </w:rPr>
              <w:t>）</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7D04EF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522FA6FD">
        <w:tblPrEx>
          <w:tblCellMar>
            <w:top w:w="0" w:type="dxa"/>
            <w:left w:w="108" w:type="dxa"/>
            <w:bottom w:w="0" w:type="dxa"/>
            <w:right w:w="108" w:type="dxa"/>
          </w:tblCellMar>
        </w:tblPrEx>
        <w:trPr>
          <w:trHeight w:val="90" w:hRule="atLeast"/>
          <w:jc w:val="center"/>
        </w:trPr>
        <w:tc>
          <w:tcPr>
            <w:tcW w:w="204" w:type="pct"/>
            <w:tcBorders>
              <w:top w:val="single" w:color="auto" w:sz="4" w:space="0"/>
              <w:left w:val="single" w:color="auto" w:sz="4" w:space="0"/>
              <w:bottom w:val="single" w:color="auto" w:sz="4" w:space="0"/>
              <w:right w:val="single" w:color="auto" w:sz="4" w:space="0"/>
            </w:tcBorders>
            <w:noWrap/>
            <w:vAlign w:val="center"/>
          </w:tcPr>
          <w:p w14:paraId="7A16D2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5" w:type="pct"/>
            <w:tcBorders>
              <w:top w:val="single" w:color="auto" w:sz="4" w:space="0"/>
              <w:left w:val="single" w:color="auto" w:sz="4" w:space="0"/>
              <w:bottom w:val="single" w:color="auto" w:sz="4" w:space="0"/>
              <w:right w:val="single" w:color="auto" w:sz="4" w:space="0"/>
            </w:tcBorders>
            <w:noWrap/>
            <w:vAlign w:val="center"/>
          </w:tcPr>
          <w:p w14:paraId="58913C89">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一氧化氮检测器</w:t>
            </w:r>
          </w:p>
        </w:tc>
        <w:tc>
          <w:tcPr>
            <w:tcW w:w="1678" w:type="pct"/>
            <w:tcBorders>
              <w:top w:val="single" w:color="auto" w:sz="4" w:space="0"/>
              <w:left w:val="single" w:color="auto" w:sz="4" w:space="0"/>
              <w:bottom w:val="single" w:color="auto" w:sz="4" w:space="0"/>
              <w:right w:val="single" w:color="000000" w:sz="4" w:space="0"/>
            </w:tcBorders>
            <w:noWrap/>
            <w:vAlign w:val="center"/>
          </w:tcPr>
          <w:p w14:paraId="5BDD2E6B">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1、与无锡尚沃的呼气分析仪主机（型号：Sunvou-TM1100）配套使用                                                           </w:t>
            </w:r>
          </w:p>
          <w:p w14:paraId="09DFF53D">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2、检测浓度范围：0 - 3000 ppb</w:t>
            </w:r>
          </w:p>
          <w:p w14:paraId="2F3B8418">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3、检测下限：3 ppb</w:t>
            </w:r>
          </w:p>
          <w:p w14:paraId="7F56CA55">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4、检测准确性：±3ppb或±10％，两者取较大值</w:t>
            </w:r>
          </w:p>
          <w:p w14:paraId="76064D69">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5、检测重复性：相对偏差CV≤10％。                               </w:t>
            </w:r>
          </w:p>
          <w:p w14:paraId="6AAEF528">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6、规格：每个检测器500人份    </w:t>
            </w:r>
          </w:p>
        </w:tc>
        <w:tc>
          <w:tcPr>
            <w:tcW w:w="528" w:type="pct"/>
            <w:tcBorders>
              <w:top w:val="single" w:color="000000" w:sz="4" w:space="0"/>
              <w:left w:val="single" w:color="000000" w:sz="4" w:space="0"/>
              <w:bottom w:val="single" w:color="auto" w:sz="4" w:space="0"/>
              <w:right w:val="single" w:color="000000" w:sz="4" w:space="0"/>
            </w:tcBorders>
            <w:noWrap/>
            <w:vAlign w:val="center"/>
          </w:tcPr>
          <w:p w14:paraId="460CF95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500人份/个</w:t>
            </w:r>
          </w:p>
        </w:tc>
        <w:tc>
          <w:tcPr>
            <w:tcW w:w="388" w:type="pct"/>
            <w:tcBorders>
              <w:top w:val="single" w:color="000000" w:sz="4" w:space="0"/>
              <w:left w:val="single" w:color="000000" w:sz="4" w:space="0"/>
              <w:bottom w:val="single" w:color="auto" w:sz="4" w:space="0"/>
              <w:right w:val="single" w:color="000000" w:sz="4" w:space="0"/>
            </w:tcBorders>
            <w:noWrap/>
            <w:vAlign w:val="center"/>
          </w:tcPr>
          <w:p w14:paraId="108E419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546" w:type="pct"/>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32" w:type="pct"/>
            <w:tcBorders>
              <w:top w:val="single" w:color="000000" w:sz="4" w:space="0"/>
              <w:left w:val="single" w:color="000000" w:sz="4" w:space="0"/>
              <w:bottom w:val="single" w:color="auto" w:sz="4" w:space="0"/>
              <w:right w:val="single" w:color="000000" w:sz="4" w:space="0"/>
            </w:tcBorders>
            <w:noWrap/>
            <w:vAlign w:val="center"/>
          </w:tcPr>
          <w:p w14:paraId="42C86C3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40000元/个</w:t>
            </w:r>
          </w:p>
        </w:tc>
        <w:tc>
          <w:tcPr>
            <w:tcW w:w="376" w:type="pct"/>
            <w:tcBorders>
              <w:top w:val="single" w:color="000000" w:sz="4" w:space="0"/>
              <w:left w:val="single" w:color="000000" w:sz="4" w:space="0"/>
              <w:bottom w:val="single" w:color="auto" w:sz="4" w:space="0"/>
              <w:right w:val="single" w:color="000000" w:sz="4" w:space="0"/>
            </w:tcBorders>
            <w:noWrap/>
            <w:vAlign w:val="center"/>
          </w:tcPr>
          <w:p w14:paraId="0EB74805">
            <w:pPr>
              <w:widowControl/>
              <w:jc w:val="center"/>
              <w:textAlignment w:val="center"/>
              <w:rPr>
                <w:rFonts w:hint="eastAsia" w:ascii="宋体" w:hAnsi="宋体" w:eastAsia="宋体" w:cs="宋体"/>
                <w:color w:val="auto"/>
                <w:sz w:val="24"/>
                <w:szCs w:val="24"/>
                <w:highlight w:val="none"/>
                <w:lang w:val="en-US" w:eastAsia="zh-CN"/>
              </w:rPr>
            </w:pPr>
          </w:p>
        </w:tc>
      </w:tr>
      <w:tr w14:paraId="64883B0F">
        <w:tblPrEx>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000000" w:sz="4" w:space="0"/>
              <w:bottom w:val="single" w:color="000000" w:sz="4" w:space="0"/>
              <w:right w:val="single" w:color="000000" w:sz="4" w:space="0"/>
            </w:tcBorders>
            <w:noWrap/>
            <w:vAlign w:val="center"/>
          </w:tcPr>
          <w:p w14:paraId="434F6CED">
            <w:pPr>
              <w:widowControl/>
              <w:spacing w:line="360" w:lineRule="auto"/>
              <w:ind w:left="630" w:hanging="720" w:hangingChars="3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324609E7">
            <w:pPr>
              <w:widowControl/>
              <w:numPr>
                <w:ilvl w:val="0"/>
                <w:numId w:val="2"/>
              </w:numPr>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投标人的投标文件必须标明所投货物的品牌与参数，保证原厂正品供货。</w:t>
            </w:r>
          </w:p>
          <w:p w14:paraId="68410551">
            <w:pPr>
              <w:widowControl/>
              <w:spacing w:line="360" w:lineRule="auto"/>
              <w:ind w:firstLine="480" w:firstLineChars="200"/>
              <w:jc w:val="left"/>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.预估</w:t>
            </w:r>
            <w:r>
              <w:rPr>
                <w:rFonts w:hint="eastAsia" w:ascii="宋体" w:hAnsi="宋体" w:cs="宋体"/>
                <w:b w:val="0"/>
                <w:bCs/>
                <w:color w:val="auto"/>
                <w:sz w:val="24"/>
                <w:szCs w:val="24"/>
                <w:highlight w:val="none"/>
                <w:lang w:val="en-US" w:eastAsia="zh-CN"/>
              </w:rPr>
              <w:t>年</w:t>
            </w:r>
            <w:r>
              <w:rPr>
                <w:rFonts w:hint="eastAsia" w:ascii="宋体" w:hAnsi="宋体" w:eastAsia="宋体" w:cs="宋体"/>
                <w:bCs/>
                <w:color w:val="auto"/>
                <w:sz w:val="24"/>
                <w:szCs w:val="24"/>
                <w:highlight w:val="none"/>
                <w:lang w:eastAsia="zh-CN"/>
              </w:rPr>
              <w:t>使用量仅供投标人报价时参考，按实结算</w:t>
            </w:r>
            <w:r>
              <w:rPr>
                <w:rFonts w:hint="eastAsia" w:ascii="宋体" w:hAnsi="宋体" w:eastAsia="宋体" w:cs="宋体"/>
                <w:b w:val="0"/>
                <w:bCs/>
                <w:color w:val="auto"/>
                <w:sz w:val="24"/>
                <w:szCs w:val="24"/>
                <w:highlight w:val="none"/>
              </w:rPr>
              <w:t>；</w:t>
            </w:r>
          </w:p>
          <w:p w14:paraId="01237B5E">
            <w:pPr>
              <w:widowControl/>
              <w:spacing w:line="360" w:lineRule="auto"/>
              <w:ind w:firstLine="480" w:firstLineChars="200"/>
              <w:jc w:val="left"/>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本项目一次性规划，分步实施，按实结算。本项目进入采购人医院SPD管理（费率：1.4%）；</w:t>
            </w:r>
          </w:p>
          <w:p w14:paraId="416DE1BC">
            <w:pPr>
              <w:widowControl/>
              <w:spacing w:line="360" w:lineRule="auto"/>
              <w:ind w:firstLine="480" w:firstLineChars="200"/>
              <w:jc w:val="left"/>
              <w:textAlignment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供货期内如遇国家、省医保带量采购等相关政策调整，按国家、省医保带量采购等相关政策执行</w:t>
            </w:r>
            <w:r>
              <w:rPr>
                <w:rFonts w:hint="eastAsia" w:ascii="宋体" w:hAnsi="宋体" w:cs="宋体"/>
                <w:b w:val="0"/>
                <w:bCs/>
                <w:color w:val="auto"/>
                <w:sz w:val="24"/>
                <w:szCs w:val="24"/>
                <w:highlight w:val="none"/>
                <w:lang w:eastAsia="zh-CN"/>
              </w:rPr>
              <w:t xml:space="preserve">。 </w:t>
            </w:r>
          </w:p>
          <w:p w14:paraId="51C7D152">
            <w:pPr>
              <w:widowControl/>
              <w:spacing w:line="360" w:lineRule="auto"/>
              <w:ind w:firstLine="480" w:firstLineChars="200"/>
              <w:jc w:val="left"/>
              <w:textAlignment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eastAsia="zh-CN"/>
              </w:rPr>
              <w:t>.所投产品如有两票制要求则须执行两票制相关要求；所投产品如安徽省医药集中采购中心有相关要求，则须执行安徽省医药集中采购中心相关要求。</w:t>
            </w:r>
          </w:p>
          <w:p w14:paraId="5EFF8CE0">
            <w:pPr>
              <w:widowControl/>
              <w:spacing w:line="360" w:lineRule="auto"/>
              <w:ind w:firstLine="480" w:firstLineChars="200"/>
              <w:jc w:val="left"/>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1A9CEB48">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.所有技术参数及要求采购人验收时将逐条核对，如发现与实际情况不符、虚假响应等，采购人有权报监管部门并追究违约责任。</w:t>
            </w:r>
          </w:p>
          <w:p w14:paraId="10FAF5BC">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.投</w:t>
            </w:r>
            <w:r>
              <w:rPr>
                <w:rFonts w:hint="eastAsia" w:ascii="宋体" w:hAnsi="宋体" w:eastAsia="宋体" w:cs="宋体"/>
                <w:bCs/>
                <w:color w:val="auto"/>
                <w:sz w:val="24"/>
                <w:szCs w:val="24"/>
                <w:highlight w:val="none"/>
              </w:rPr>
              <w:t>标人应按照采购文件要求提供证明材料。若投标提供了采购文件未要求的证明材料，评标委员会将不予评审。</w:t>
            </w:r>
          </w:p>
          <w:p w14:paraId="1FE5FBBA">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.投标人提供的证明材料须清晰的反映评审内容，如因材料模糊不清，导致评标委员会无法辨认的，评标委员会可以不予认可，一切后果由投标人自行承担。</w:t>
            </w:r>
          </w:p>
          <w:p w14:paraId="766A4470">
            <w:pPr>
              <w:widowControl/>
              <w:spacing w:line="360" w:lineRule="auto"/>
              <w:ind w:firstLine="482" w:firstLineChars="20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最高投标费率：100%</w:t>
            </w:r>
            <w:r>
              <w:rPr>
                <w:rFonts w:hint="eastAsia" w:ascii="宋体" w:hAnsi="宋体" w:cs="宋体"/>
                <w:b/>
                <w:color w:val="auto"/>
                <w:sz w:val="24"/>
                <w:szCs w:val="24"/>
                <w:highlight w:val="none"/>
                <w:lang w:eastAsia="zh-CN"/>
              </w:rPr>
              <w:t>，报价</w:t>
            </w:r>
            <w:r>
              <w:rPr>
                <w:rFonts w:hint="eastAsia" w:ascii="宋体" w:hAnsi="宋体" w:cs="宋体"/>
                <w:b/>
                <w:color w:val="auto"/>
                <w:sz w:val="24"/>
                <w:szCs w:val="24"/>
                <w:highlight w:val="none"/>
                <w:lang w:val="en-US" w:eastAsia="zh-CN"/>
              </w:rPr>
              <w:t>费率</w:t>
            </w:r>
            <w:r>
              <w:rPr>
                <w:rFonts w:hint="eastAsia" w:ascii="宋体" w:hAnsi="宋体" w:cs="宋体"/>
                <w:b/>
                <w:color w:val="auto"/>
                <w:sz w:val="24"/>
                <w:szCs w:val="24"/>
                <w:highlight w:val="none"/>
                <w:lang w:eastAsia="zh-CN"/>
              </w:rPr>
              <w:t>高于</w:t>
            </w:r>
            <w:r>
              <w:rPr>
                <w:rFonts w:hint="eastAsia" w:ascii="宋体" w:hAnsi="宋体" w:cs="宋体"/>
                <w:b/>
                <w:color w:val="auto"/>
                <w:sz w:val="24"/>
                <w:szCs w:val="24"/>
                <w:highlight w:val="none"/>
                <w:lang w:val="en-US" w:eastAsia="zh-CN"/>
              </w:rPr>
              <w:t>最高投标费率</w:t>
            </w:r>
            <w:r>
              <w:rPr>
                <w:rFonts w:hint="eastAsia" w:ascii="宋体" w:hAnsi="宋体" w:cs="宋体"/>
                <w:b/>
                <w:color w:val="auto"/>
                <w:sz w:val="24"/>
                <w:szCs w:val="24"/>
                <w:highlight w:val="none"/>
                <w:lang w:eastAsia="zh-CN"/>
              </w:rPr>
              <w:t>为无效报价，按废标处理。</w:t>
            </w:r>
          </w:p>
        </w:tc>
      </w:tr>
      <w:bookmarkEnd w:id="0"/>
      <w:bookmarkEnd w:id="1"/>
    </w:tbl>
    <w:p w14:paraId="1B19FFA1">
      <w:pPr>
        <w:pStyle w:val="5"/>
        <w:shd w:val="clear" w:color="auto" w:fill="FFFFFF"/>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4F707A0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9068E1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7B86455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691E5EBC">
      <w:pPr>
        <w:pStyle w:val="5"/>
        <w:numPr>
          <w:ilvl w:val="0"/>
          <w:numId w:val="0"/>
        </w:numPr>
        <w:shd w:val="clear" w:color="auto" w:fill="FFFFFF"/>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4D254D8E">
      <w:pPr>
        <w:pStyle w:val="5"/>
        <w:shd w:val="clear" w:color="auto" w:fill="FFFFFF"/>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自合同执行日起</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年或采购费用总额达到本项目总中标价（预算金额</w:t>
      </w: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中标费率）时，以先到者为准，在供货期内按照安庆市第一人民医院的要求分批供货，据实结算。</w:t>
      </w:r>
    </w:p>
    <w:p w14:paraId="2B1D12B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004B406C">
      <w:pPr>
        <w:spacing w:line="360" w:lineRule="auto"/>
        <w:ind w:firstLine="480" w:firstLineChars="200"/>
        <w:rPr>
          <w:rFonts w:hint="eastAsia" w:ascii="宋体" w:hAnsi="宋体" w:eastAsia="宋体" w:cs="宋体"/>
          <w:b/>
          <w:color w:val="auto"/>
          <w:sz w:val="24"/>
          <w:szCs w:val="24"/>
          <w:highlight w:val="none"/>
        </w:rPr>
        <w:sectPr>
          <w:footerReference r:id="rId3" w:type="default"/>
          <w:pgSz w:w="11906" w:h="16838"/>
          <w:pgMar w:top="1417" w:right="1417" w:bottom="1417" w:left="1417" w:header="680" w:footer="850" w:gutter="0"/>
          <w:pgNumType w:fmt="numberInDash" w:start="1"/>
          <w:cols w:space="720" w:num="1"/>
          <w:docGrid w:type="lines" w:linePitch="312" w:charSpace="0"/>
        </w:sectPr>
      </w:pPr>
      <w:r>
        <w:rPr>
          <w:rFonts w:hint="eastAsia" w:ascii="宋体" w:hAnsi="宋体" w:eastAsia="宋体" w:cs="宋体"/>
          <w:color w:val="auto"/>
          <w:sz w:val="24"/>
          <w:szCs w:val="24"/>
          <w:highlight w:val="none"/>
        </w:rPr>
        <w:t>合同签订后按甲方计划要求分批供货，按实结算，货到验收合格、收到正规发票后6个月内付款。</w:t>
      </w:r>
    </w:p>
    <w:p w14:paraId="1D15E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CDB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5CDB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418EB"/>
    <w:multiLevelType w:val="singleLevel"/>
    <w:tmpl w:val="96D418EB"/>
    <w:lvl w:ilvl="0" w:tentative="0">
      <w:start w:val="1"/>
      <w:numFmt w:val="decimal"/>
      <w:lvlText w:val="%1."/>
      <w:lvlJc w:val="left"/>
      <w:pPr>
        <w:tabs>
          <w:tab w:val="left" w:pos="312"/>
        </w:tabs>
      </w:pPr>
    </w:lvl>
  </w:abstractNum>
  <w:abstractNum w:abstractNumId="1">
    <w:nsid w:val="416CD41C"/>
    <w:multiLevelType w:val="singleLevel"/>
    <w:tmpl w:val="416CD41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F60A1"/>
    <w:rsid w:val="1AF71484"/>
    <w:rsid w:val="59FA63FB"/>
    <w:rsid w:val="6415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2025-11-13T01:02:45Z</dcterms:created>
  <dc:creator>Administrator</dc:creator>
  <cp:lastModifiedBy>w y l</cp:lastModifiedBy>
  <dcterms:modified xsi:type="dcterms:W3CDTF">2025-11-13T01:03:04Z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EE9D62B005D74F1FADDB616EDF942E08_12</vt:lpwstr>
  </property>
</Properties>
</file>