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14D13">
      <w:pPr>
        <w:pStyle w:val="3"/>
        <w:spacing w:before="62" w:beforeLines="20" w:after="62" w:afterLines="20" w:line="360" w:lineRule="auto"/>
        <w:ind w:firstLine="0" w:firstLineChars="0"/>
        <w:jc w:val="center"/>
        <w:rPr>
          <w:rFonts w:hint="eastAsia" w:asciiTheme="majorEastAsia" w:hAnsiTheme="majorEastAsia" w:eastAsiaTheme="majorEastAsia" w:cstheme="majorEastAsia"/>
          <w:b/>
          <w:i w:val="0"/>
          <w:kern w:val="2"/>
          <w:sz w:val="32"/>
          <w:szCs w:val="32"/>
          <w:lang w:val="en-US" w:eastAsia="zh-CN" w:bidi="ar-SA"/>
        </w:rPr>
      </w:pPr>
      <w:r>
        <w:rPr>
          <w:rFonts w:hint="eastAsia" w:asciiTheme="majorEastAsia" w:hAnsiTheme="majorEastAsia" w:eastAsiaTheme="majorEastAsia" w:cstheme="majorEastAsia"/>
          <w:b/>
          <w:i w:val="0"/>
          <w:kern w:val="2"/>
          <w:sz w:val="32"/>
          <w:szCs w:val="32"/>
          <w:lang w:val="zh-CN" w:eastAsia="zh-CN" w:bidi="ar-SA"/>
        </w:rPr>
        <w:t>货物需求及参数要求</w:t>
      </w:r>
    </w:p>
    <w:p w14:paraId="33DA42FD">
      <w:pPr>
        <w:widowControl/>
        <w:spacing w:line="240" w:lineRule="auto"/>
        <w:ind w:firstLine="420" w:firstLineChars="200"/>
        <w:jc w:val="left"/>
        <w:rPr>
          <w:rFonts w:hint="eastAsia" w:ascii="宋体" w:hAnsi="宋体"/>
          <w:b w:val="0"/>
          <w:bCs w:val="0"/>
          <w:strike w:val="0"/>
          <w:dstrike w:val="0"/>
          <w:color w:val="auto"/>
          <w:sz w:val="21"/>
          <w:szCs w:val="21"/>
          <w:highlight w:val="none"/>
        </w:rPr>
      </w:pPr>
      <w:r>
        <w:rPr>
          <w:rFonts w:hint="eastAsia"/>
          <w:b w:val="0"/>
          <w:bCs w:val="0"/>
          <w:highlight w:val="none"/>
        </w:rPr>
        <w:t>为鼓励不同品牌的充分竞争，如某设备的某技术参数或要求属于个别品牌专有，则该技术参数及要求不具有限制性，投标人可对该参数或要求进行适当调整，但这种调整整体上要优于或相当于采购文件的相关要求，并说明调整理由，且该调整须经评委会审核认可。</w:t>
      </w:r>
    </w:p>
    <w:p w14:paraId="43E52732">
      <w:pPr>
        <w:widowControl/>
        <w:spacing w:line="240" w:lineRule="auto"/>
        <w:ind w:firstLine="405"/>
        <w:jc w:val="left"/>
        <w:rPr>
          <w:rFonts w:ascii="宋体" w:hAnsi="宋体"/>
          <w:b w:val="0"/>
          <w:bCs w:val="0"/>
          <w:strike w:val="0"/>
          <w:dstrike w:val="0"/>
          <w:color w:val="auto"/>
          <w:sz w:val="21"/>
          <w:szCs w:val="21"/>
          <w:highlight w:val="none"/>
        </w:rPr>
      </w:pPr>
      <w:r>
        <w:rPr>
          <w:rFonts w:hint="eastAsia" w:ascii="宋体" w:hAnsi="宋体"/>
          <w:b w:val="0"/>
          <w:bCs w:val="0"/>
          <w:strike w:val="0"/>
          <w:dstrike w:val="0"/>
          <w:color w:val="auto"/>
          <w:sz w:val="21"/>
          <w:szCs w:val="21"/>
          <w:highlight w:val="none"/>
        </w:rPr>
        <w:t>1、在采购活动开始前没有获准采购进口产品而开展采购活动的，视同为拒绝采购进口产品。</w:t>
      </w:r>
    </w:p>
    <w:p w14:paraId="13669016">
      <w:pPr>
        <w:widowControl/>
        <w:spacing w:line="240" w:lineRule="auto"/>
        <w:ind w:firstLine="405"/>
        <w:jc w:val="left"/>
        <w:rPr>
          <w:rFonts w:hint="eastAsia" w:ascii="宋体" w:hAnsi="宋体" w:eastAsia="宋体"/>
          <w:color w:val="auto"/>
          <w:sz w:val="24"/>
          <w:szCs w:val="18"/>
          <w:highlight w:val="none"/>
        </w:rPr>
      </w:pPr>
      <w:r>
        <w:rPr>
          <w:rFonts w:hint="eastAsia" w:ascii="宋体" w:hAnsi="宋体"/>
          <w:b w:val="0"/>
          <w:bCs w:val="0"/>
          <w:strike w:val="0"/>
          <w:dstrike w:val="0"/>
          <w:color w:val="auto"/>
          <w:sz w:val="21"/>
          <w:szCs w:val="21"/>
          <w:highlight w:val="none"/>
        </w:rPr>
        <w:t>2、下列采购需求中标注进口产品的货物均已履行相关论证手续，经核准采购进口产品，但不限制满足</w:t>
      </w:r>
      <w:r>
        <w:rPr>
          <w:rFonts w:hint="eastAsia" w:ascii="宋体" w:hAnsi="宋体"/>
          <w:b w:val="0"/>
          <w:bCs w:val="0"/>
          <w:strike w:val="0"/>
          <w:dstrike w:val="0"/>
          <w:color w:val="auto"/>
          <w:sz w:val="21"/>
          <w:szCs w:val="21"/>
          <w:highlight w:val="none"/>
          <w:lang w:val="en-US" w:eastAsia="zh-CN"/>
        </w:rPr>
        <w:t>采购</w:t>
      </w:r>
      <w:r>
        <w:rPr>
          <w:rFonts w:hint="eastAsia" w:ascii="宋体" w:hAnsi="宋体"/>
          <w:b w:val="0"/>
          <w:bCs w:val="0"/>
          <w:strike w:val="0"/>
          <w:dstrike w:val="0"/>
          <w:color w:val="auto"/>
          <w:sz w:val="21"/>
          <w:szCs w:val="21"/>
          <w:highlight w:val="none"/>
        </w:rPr>
        <w:t>文件要求的国内产品参与竞争。未标注进口产品的货物均为拒绝采购进口产品。</w:t>
      </w:r>
    </w:p>
    <w:p w14:paraId="436E6431">
      <w:pPr>
        <w:widowControl/>
        <w:numPr>
          <w:ilvl w:val="0"/>
          <w:numId w:val="0"/>
        </w:numPr>
        <w:spacing w:line="360" w:lineRule="auto"/>
        <w:ind w:firstLine="422" w:firstLineChars="200"/>
        <w:jc w:val="left"/>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bCs/>
          <w:sz w:val="21"/>
          <w:szCs w:val="21"/>
          <w:lang w:val="en-US" w:eastAsia="zh-CN"/>
        </w:rPr>
        <w:t>一、</w:t>
      </w:r>
      <w:r>
        <w:rPr>
          <w:rFonts w:hint="eastAsia" w:asciiTheme="minorEastAsia" w:hAnsiTheme="minorEastAsia" w:eastAsiaTheme="minorEastAsia" w:cstheme="minorEastAsia"/>
          <w:b/>
          <w:bCs/>
          <w:sz w:val="21"/>
          <w:szCs w:val="21"/>
        </w:rPr>
        <w:t>货物需求一览表</w:t>
      </w:r>
      <w:bookmarkStart w:id="0" w:name="_Hlk96158360"/>
      <w:bookmarkStart w:id="1" w:name="_Hlk106267351"/>
    </w:p>
    <w:tbl>
      <w:tblPr>
        <w:tblStyle w:val="5"/>
        <w:tblW w:w="10065" w:type="dxa"/>
        <w:jc w:val="center"/>
        <w:tblLayout w:type="fixed"/>
        <w:tblCellMar>
          <w:top w:w="0" w:type="dxa"/>
          <w:left w:w="108" w:type="dxa"/>
          <w:bottom w:w="0" w:type="dxa"/>
          <w:right w:w="108" w:type="dxa"/>
        </w:tblCellMar>
      </w:tblPr>
      <w:tblGrid>
        <w:gridCol w:w="495"/>
        <w:gridCol w:w="1035"/>
        <w:gridCol w:w="3481"/>
        <w:gridCol w:w="1230"/>
        <w:gridCol w:w="510"/>
        <w:gridCol w:w="839"/>
        <w:gridCol w:w="1125"/>
        <w:gridCol w:w="720"/>
        <w:gridCol w:w="630"/>
      </w:tblGrid>
      <w:tr w14:paraId="0F1322E7">
        <w:tblPrEx>
          <w:tblCellMar>
            <w:top w:w="0" w:type="dxa"/>
            <w:left w:w="108" w:type="dxa"/>
            <w:bottom w:w="0" w:type="dxa"/>
            <w:right w:w="108" w:type="dxa"/>
          </w:tblCellMar>
        </w:tblPrEx>
        <w:trPr>
          <w:trHeight w:val="81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4FDCAC1C">
            <w:pPr>
              <w:widowControl/>
              <w:spacing w:line="360" w:lineRule="auto"/>
              <w:jc w:val="left"/>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63C22F6">
            <w:pPr>
              <w:widowControl/>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货物名称</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4EBE39F5">
            <w:pPr>
              <w:widowControl/>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采购</w:t>
            </w:r>
            <w:r>
              <w:rPr>
                <w:rFonts w:hint="eastAsia" w:ascii="宋体" w:hAnsi="宋体" w:eastAsia="宋体" w:cs="宋体"/>
                <w:b/>
                <w:bCs/>
                <w:color w:val="000000"/>
                <w:sz w:val="21"/>
                <w:szCs w:val="21"/>
              </w:rPr>
              <w:t>技术参数</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6DEAE20">
            <w:pPr>
              <w:widowControl/>
              <w:spacing w:line="360" w:lineRule="auto"/>
              <w:jc w:val="center"/>
              <w:textAlignment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规格</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CAAC47D">
            <w:pPr>
              <w:widowControl/>
              <w:spacing w:line="360" w:lineRule="auto"/>
              <w:jc w:val="left"/>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单位</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3BA1A1AE">
            <w:pPr>
              <w:widowControl/>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预计3年采购量</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6DEB0D7">
            <w:pPr>
              <w:widowControl/>
              <w:spacing w:line="360" w:lineRule="auto"/>
              <w:jc w:val="left"/>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拟采购</w:t>
            </w:r>
            <w:r>
              <w:rPr>
                <w:rFonts w:hint="eastAsia" w:ascii="宋体" w:hAnsi="宋体" w:eastAsia="宋体" w:cs="宋体"/>
                <w:b/>
                <w:bCs/>
                <w:color w:val="000000"/>
                <w:sz w:val="21"/>
                <w:szCs w:val="21"/>
                <w:lang w:val="en-US" w:eastAsia="zh-CN"/>
              </w:rPr>
              <w:t>单价最高</w:t>
            </w:r>
            <w:r>
              <w:rPr>
                <w:rFonts w:hint="eastAsia" w:ascii="宋体" w:hAnsi="宋体" w:eastAsia="宋体" w:cs="宋体"/>
                <w:b/>
                <w:bCs/>
                <w:color w:val="000000"/>
                <w:sz w:val="21"/>
                <w:szCs w:val="21"/>
              </w:rPr>
              <w:t>限价（元）</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7E5C84">
            <w:pPr>
              <w:widowControl/>
              <w:spacing w:line="360" w:lineRule="auto"/>
              <w:jc w:val="left"/>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所属行业</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747039DF">
            <w:pPr>
              <w:widowControl/>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备注</w:t>
            </w:r>
          </w:p>
        </w:tc>
      </w:tr>
      <w:tr w14:paraId="6CEEDF07">
        <w:tblPrEx>
          <w:tblCellMar>
            <w:top w:w="0" w:type="dxa"/>
            <w:left w:w="108" w:type="dxa"/>
            <w:bottom w:w="0" w:type="dxa"/>
            <w:right w:w="108" w:type="dxa"/>
          </w:tblCellMar>
        </w:tblPrEx>
        <w:trPr>
          <w:trHeight w:val="1592"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3D933559">
            <w:pPr>
              <w:widowControl/>
              <w:spacing w:line="360" w:lineRule="auto"/>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5B582BC">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一次性使用血液回路导管</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35A2CFA7">
            <w:pPr>
              <w:keepNext w:val="0"/>
              <w:keepLines w:val="0"/>
              <w:widowControl/>
              <w:suppressLineNumbers w:val="0"/>
              <w:jc w:val="left"/>
              <w:textAlignment w:val="center"/>
              <w:rPr>
                <w:rStyle w:val="7"/>
                <w:rFonts w:hint="eastAsia" w:ascii="宋体" w:hAnsi="宋体" w:eastAsia="宋体" w:cs="宋体"/>
                <w:sz w:val="21"/>
                <w:szCs w:val="21"/>
                <w:lang w:val="en-US" w:eastAsia="zh-CN" w:bidi="ar"/>
              </w:rPr>
            </w:pPr>
            <w:r>
              <w:rPr>
                <w:rStyle w:val="7"/>
                <w:rFonts w:hint="eastAsia" w:ascii="宋体" w:hAnsi="宋体" w:eastAsia="宋体" w:cs="宋体"/>
                <w:sz w:val="21"/>
                <w:szCs w:val="21"/>
                <w:lang w:val="en-US" w:eastAsia="zh-CN" w:bidi="ar"/>
              </w:rPr>
              <w:t>1.结构及组成：由动脉侧、静脉侧回路组成，部分型号带有废液袋。主要部件包括:各种接头、采样口、冲洗分支管、泵管、肝素分支管、气体捕获器、传感器保护器；</w:t>
            </w:r>
          </w:p>
          <w:p w14:paraId="76E5C756">
            <w:pPr>
              <w:keepNext w:val="0"/>
              <w:keepLines w:val="0"/>
              <w:widowControl/>
              <w:suppressLineNumbers w:val="0"/>
              <w:jc w:val="left"/>
              <w:textAlignment w:val="center"/>
              <w:rPr>
                <w:rStyle w:val="7"/>
                <w:rFonts w:hint="eastAsia" w:ascii="宋体" w:hAnsi="宋体" w:eastAsia="宋体" w:cs="宋体"/>
                <w:sz w:val="21"/>
                <w:szCs w:val="21"/>
                <w:lang w:val="en-US" w:eastAsia="zh-CN" w:bidi="ar"/>
              </w:rPr>
            </w:pPr>
            <w:r>
              <w:rPr>
                <w:rStyle w:val="7"/>
                <w:rFonts w:hint="eastAsia" w:ascii="宋体" w:hAnsi="宋体" w:eastAsia="宋体" w:cs="宋体"/>
                <w:sz w:val="21"/>
                <w:szCs w:val="21"/>
                <w:lang w:val="en-US" w:eastAsia="zh-CN" w:bidi="ar"/>
              </w:rPr>
              <w:t>2.血液回路导管的接头与配套使用的器件应无泄漏；</w:t>
            </w:r>
          </w:p>
          <w:p w14:paraId="367F2F17">
            <w:pPr>
              <w:keepNext w:val="0"/>
              <w:keepLines w:val="0"/>
              <w:widowControl/>
              <w:suppressLineNumbers w:val="0"/>
              <w:jc w:val="left"/>
              <w:textAlignment w:val="center"/>
              <w:rPr>
                <w:rStyle w:val="7"/>
                <w:rFonts w:hint="eastAsia" w:ascii="宋体" w:hAnsi="宋体" w:eastAsia="宋体" w:cs="宋体"/>
                <w:sz w:val="21"/>
                <w:szCs w:val="21"/>
                <w:lang w:val="en-US" w:eastAsia="zh-CN" w:bidi="ar"/>
              </w:rPr>
            </w:pPr>
            <w:r>
              <w:rPr>
                <w:rStyle w:val="7"/>
                <w:rFonts w:hint="eastAsia" w:ascii="宋体" w:hAnsi="宋体" w:eastAsia="宋体" w:cs="宋体"/>
                <w:sz w:val="21"/>
                <w:szCs w:val="21"/>
                <w:lang w:val="en-US" w:eastAsia="zh-CN" w:bidi="ar"/>
              </w:rPr>
              <w:t xml:space="preserve">3.血液回路导管连接血管通路的接头与配套使用的器件连接应无泄漏；                                                          </w:t>
            </w:r>
          </w:p>
          <w:p w14:paraId="648B2207">
            <w:pPr>
              <w:keepNext w:val="0"/>
              <w:keepLines w:val="0"/>
              <w:widowControl/>
              <w:suppressLineNumbers w:val="0"/>
              <w:jc w:val="left"/>
              <w:textAlignment w:val="center"/>
              <w:rPr>
                <w:rFonts w:hint="eastAsia" w:ascii="宋体" w:hAnsi="宋体" w:eastAsia="宋体" w:cs="宋体"/>
                <w:sz w:val="21"/>
                <w:szCs w:val="21"/>
              </w:rPr>
            </w:pPr>
            <w:r>
              <w:rPr>
                <w:rStyle w:val="7"/>
                <w:rFonts w:hint="eastAsia" w:ascii="宋体" w:hAnsi="宋体" w:eastAsia="宋体" w:cs="宋体"/>
                <w:sz w:val="21"/>
                <w:szCs w:val="21"/>
                <w:lang w:val="en-US" w:eastAsia="zh-CN" w:bidi="ar"/>
              </w:rPr>
              <w:t>4、适配医院现有健帆DX-10型人工肝血液净化设备使用。</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5E6B5C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各规格</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0AA7EA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11B0540A">
            <w:pPr>
              <w:keepNext w:val="0"/>
              <w:keepLines w:val="0"/>
              <w:widowControl/>
              <w:suppressLineNumbers w:val="0"/>
              <w:jc w:val="center"/>
              <w:textAlignment w:val="bottom"/>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36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8940D17">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600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BCF28F8">
            <w:pPr>
              <w:widowControl/>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工业</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1111322B">
            <w:pPr>
              <w:widowControl/>
              <w:spacing w:line="360" w:lineRule="auto"/>
              <w:jc w:val="left"/>
              <w:textAlignment w:val="center"/>
              <w:rPr>
                <w:rFonts w:hint="eastAsia" w:ascii="宋体" w:hAnsi="宋体" w:eastAsia="宋体" w:cs="宋体"/>
                <w:color w:val="000000"/>
                <w:kern w:val="0"/>
                <w:sz w:val="21"/>
                <w:szCs w:val="21"/>
                <w:lang w:bidi="ar"/>
              </w:rPr>
            </w:pPr>
          </w:p>
        </w:tc>
      </w:tr>
      <w:tr w14:paraId="2EAC1843">
        <w:tblPrEx>
          <w:tblCellMar>
            <w:top w:w="0" w:type="dxa"/>
            <w:left w:w="108" w:type="dxa"/>
            <w:bottom w:w="0" w:type="dxa"/>
            <w:right w:w="108" w:type="dxa"/>
          </w:tblCellMar>
        </w:tblPrEx>
        <w:trPr>
          <w:trHeight w:val="1567"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6DFBFDEF">
            <w:pPr>
              <w:widowControl/>
              <w:spacing w:line="360" w:lineRule="auto"/>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0875A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一次性使用胆红素血浆吸附器</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217D8EF2">
            <w:pPr>
              <w:keepNext w:val="0"/>
              <w:keepLines w:val="0"/>
              <w:widowControl/>
              <w:suppressLineNumbers w:val="0"/>
              <w:jc w:val="left"/>
              <w:textAlignment w:val="center"/>
              <w:rPr>
                <w:rStyle w:val="7"/>
                <w:rFonts w:hint="eastAsia" w:ascii="宋体" w:hAnsi="宋体" w:eastAsia="宋体" w:cs="宋体"/>
                <w:sz w:val="21"/>
                <w:szCs w:val="21"/>
                <w:lang w:val="en-US" w:eastAsia="zh-CN" w:bidi="ar"/>
              </w:rPr>
            </w:pPr>
            <w:r>
              <w:rPr>
                <w:rStyle w:val="7"/>
                <w:rFonts w:hint="eastAsia" w:ascii="宋体" w:hAnsi="宋体" w:eastAsia="宋体" w:cs="宋体"/>
                <w:sz w:val="21"/>
                <w:szCs w:val="21"/>
                <w:lang w:val="en-US" w:eastAsia="zh-CN" w:bidi="ar"/>
              </w:rPr>
              <w:t>1.本产品由吸附剂、填充液、柱体、过滤片（支撑膜和过滤膜）、密封圈、端盖、接头和堵头组成。吸附剂为聚苯乙烯阴离子树脂；填充液为0.9%氯化钠溶液；柱体、支撑膜、端盖、接头和堵头材质均为聚丙烯；过滤膜材质为尼龙；密封圈材质为医用硅橡胶。采用高压蒸汽灭菌方式，为一次性使用；</w:t>
            </w:r>
          </w:p>
          <w:p w14:paraId="4406AA32">
            <w:pPr>
              <w:keepNext w:val="0"/>
              <w:keepLines w:val="0"/>
              <w:widowControl/>
              <w:suppressLineNumbers w:val="0"/>
              <w:jc w:val="left"/>
              <w:textAlignment w:val="center"/>
              <w:rPr>
                <w:rStyle w:val="7"/>
                <w:rFonts w:hint="eastAsia" w:ascii="宋体" w:hAnsi="宋体" w:eastAsia="宋体" w:cs="宋体"/>
                <w:sz w:val="21"/>
                <w:szCs w:val="21"/>
                <w:lang w:val="en-US" w:eastAsia="zh-CN" w:bidi="ar"/>
              </w:rPr>
            </w:pPr>
            <w:r>
              <w:rPr>
                <w:rStyle w:val="7"/>
                <w:rFonts w:hint="eastAsia" w:ascii="宋体" w:hAnsi="宋体" w:eastAsia="宋体" w:cs="宋体"/>
                <w:sz w:val="21"/>
                <w:szCs w:val="21"/>
                <w:lang w:val="en-US" w:eastAsia="zh-CN" w:bidi="ar"/>
              </w:rPr>
              <w:t xml:space="preserve">2.血室容量为：135mL±10%；                                                                                             </w:t>
            </w:r>
          </w:p>
          <w:p w14:paraId="0BE0536E">
            <w:pPr>
              <w:keepNext w:val="0"/>
              <w:keepLines w:val="0"/>
              <w:widowControl/>
              <w:suppressLineNumbers w:val="0"/>
              <w:jc w:val="left"/>
              <w:textAlignment w:val="center"/>
              <w:rPr>
                <w:rStyle w:val="7"/>
                <w:rFonts w:hint="eastAsia" w:ascii="宋体" w:hAnsi="宋体" w:eastAsia="宋体" w:cs="宋体"/>
                <w:sz w:val="21"/>
                <w:szCs w:val="21"/>
                <w:lang w:val="en-US" w:eastAsia="zh-CN" w:bidi="ar"/>
              </w:rPr>
            </w:pPr>
            <w:r>
              <w:rPr>
                <w:rStyle w:val="7"/>
                <w:rFonts w:hint="eastAsia" w:ascii="宋体" w:hAnsi="宋体" w:eastAsia="宋体" w:cs="宋体"/>
                <w:sz w:val="21"/>
                <w:szCs w:val="21"/>
                <w:lang w:val="en-US" w:eastAsia="zh-CN" w:bidi="ar"/>
              </w:rPr>
              <w:t>3.适配医院现有健帆DX-10型人工肝血液净化设备使用，通过血浆吸附清除患者体内的胆红素。适用于治疗急慢性肝炎、重型肝炎、胆汁淤积型肝炎引起的高胆红素血症。</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35749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各规格</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B38546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103ED809">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C219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433968">
            <w:pPr>
              <w:widowControl/>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工业</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AB8DF58">
            <w:pPr>
              <w:widowControl/>
              <w:spacing w:line="360" w:lineRule="auto"/>
              <w:jc w:val="left"/>
              <w:textAlignment w:val="center"/>
              <w:rPr>
                <w:rFonts w:hint="eastAsia" w:ascii="宋体" w:hAnsi="宋体" w:eastAsia="宋体" w:cs="宋体"/>
                <w:color w:val="000000"/>
                <w:kern w:val="0"/>
                <w:sz w:val="21"/>
                <w:szCs w:val="21"/>
                <w:lang w:bidi="ar"/>
              </w:rPr>
            </w:pPr>
          </w:p>
        </w:tc>
      </w:tr>
      <w:tr w14:paraId="6A362DB7">
        <w:tblPrEx>
          <w:tblCellMar>
            <w:top w:w="0" w:type="dxa"/>
            <w:left w:w="108" w:type="dxa"/>
            <w:bottom w:w="0" w:type="dxa"/>
            <w:right w:w="108" w:type="dxa"/>
          </w:tblCellMar>
        </w:tblPrEx>
        <w:trPr>
          <w:trHeight w:val="1592"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5D34EB65">
            <w:pPr>
              <w:widowControl/>
              <w:spacing w:line="360" w:lineRule="auto"/>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1F8DE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一次性使用血液灌流器</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7CC07AC4">
            <w:pPr>
              <w:keepNext w:val="0"/>
              <w:keepLines w:val="0"/>
              <w:widowControl/>
              <w:suppressLineNumbers w:val="0"/>
              <w:jc w:val="left"/>
              <w:textAlignment w:val="center"/>
              <w:rPr>
                <w:rStyle w:val="7"/>
                <w:rFonts w:hint="eastAsia" w:ascii="宋体" w:hAnsi="宋体" w:eastAsia="宋体" w:cs="宋体"/>
                <w:sz w:val="21"/>
                <w:szCs w:val="21"/>
                <w:lang w:val="en-US" w:eastAsia="zh-CN" w:bidi="ar"/>
              </w:rPr>
            </w:pPr>
            <w:r>
              <w:rPr>
                <w:rStyle w:val="7"/>
                <w:rFonts w:hint="eastAsia" w:ascii="宋体" w:hAnsi="宋体" w:eastAsia="宋体" w:cs="宋体"/>
                <w:sz w:val="21"/>
                <w:szCs w:val="21"/>
                <w:lang w:val="en-US" w:eastAsia="zh-CN" w:bidi="ar"/>
              </w:rPr>
              <w:t>1.本产品由吸附剂、填充液、柱体、过滤片（支撑膜和过滤膜）、密封圈、端盖、接头和堵头组成。采用高压蒸汽灭菌方式，一次性使用。吸附剂材料组成为：（聚苯乙烯树脂，300-500μm）；</w:t>
            </w:r>
          </w:p>
          <w:p w14:paraId="15649DCD">
            <w:pPr>
              <w:keepNext w:val="0"/>
              <w:keepLines w:val="0"/>
              <w:widowControl/>
              <w:suppressLineNumbers w:val="0"/>
              <w:jc w:val="left"/>
              <w:textAlignment w:val="center"/>
              <w:rPr>
                <w:rStyle w:val="7"/>
                <w:rFonts w:hint="eastAsia" w:ascii="宋体" w:hAnsi="宋体" w:eastAsia="宋体" w:cs="宋体"/>
                <w:sz w:val="21"/>
                <w:szCs w:val="21"/>
                <w:lang w:val="en-US" w:eastAsia="zh-CN" w:bidi="ar"/>
              </w:rPr>
            </w:pPr>
            <w:r>
              <w:rPr>
                <w:rStyle w:val="7"/>
                <w:rFonts w:hint="eastAsia" w:ascii="宋体" w:hAnsi="宋体" w:eastAsia="宋体" w:cs="宋体"/>
                <w:sz w:val="21"/>
                <w:szCs w:val="21"/>
                <w:lang w:val="en-US" w:eastAsia="zh-CN" w:bidi="ar"/>
              </w:rPr>
              <w:t>2.吸附剂体积：≥300mL；</w:t>
            </w:r>
          </w:p>
          <w:p w14:paraId="5E8CE877">
            <w:pPr>
              <w:keepNext w:val="0"/>
              <w:keepLines w:val="0"/>
              <w:widowControl/>
              <w:suppressLineNumbers w:val="0"/>
              <w:jc w:val="left"/>
              <w:textAlignment w:val="center"/>
              <w:rPr>
                <w:rStyle w:val="7"/>
                <w:rFonts w:hint="eastAsia" w:ascii="宋体" w:hAnsi="宋体" w:eastAsia="宋体" w:cs="宋体"/>
                <w:sz w:val="21"/>
                <w:szCs w:val="21"/>
                <w:lang w:val="en-US" w:eastAsia="zh-CN" w:bidi="ar"/>
              </w:rPr>
            </w:pPr>
            <w:r>
              <w:rPr>
                <w:rStyle w:val="7"/>
                <w:rFonts w:hint="eastAsia" w:ascii="宋体" w:hAnsi="宋体" w:eastAsia="宋体" w:cs="宋体"/>
                <w:sz w:val="21"/>
                <w:szCs w:val="21"/>
                <w:lang w:val="en-US" w:eastAsia="zh-CN" w:bidi="ar"/>
              </w:rPr>
              <w:t xml:space="preserve">3.包膜技术：共价键改性包膜技术；                                                                                        </w:t>
            </w:r>
          </w:p>
          <w:p w14:paraId="36580D54">
            <w:pPr>
              <w:keepNext w:val="0"/>
              <w:keepLines w:val="0"/>
              <w:widowControl/>
              <w:suppressLineNumbers w:val="0"/>
              <w:jc w:val="left"/>
              <w:textAlignment w:val="center"/>
              <w:rPr>
                <w:rStyle w:val="7"/>
                <w:rFonts w:hint="eastAsia" w:ascii="宋体" w:hAnsi="宋体" w:eastAsia="宋体" w:cs="宋体"/>
                <w:sz w:val="21"/>
                <w:szCs w:val="21"/>
                <w:lang w:val="en-US" w:eastAsia="zh-CN" w:bidi="ar"/>
              </w:rPr>
            </w:pPr>
            <w:r>
              <w:rPr>
                <w:rStyle w:val="7"/>
                <w:rFonts w:hint="eastAsia" w:ascii="宋体" w:hAnsi="宋体" w:eastAsia="宋体" w:cs="宋体"/>
                <w:sz w:val="21"/>
                <w:szCs w:val="21"/>
                <w:lang w:val="en-US" w:eastAsia="zh-CN" w:bidi="ar"/>
              </w:rPr>
              <w:t>4.适配医院现有健帆DX-10型人工肝血液净化设备使用。</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7E7D7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各规格</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1CC945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531086D6">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AD3C0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1C57106">
            <w:pPr>
              <w:widowControl/>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工业</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133FD35">
            <w:pPr>
              <w:widowControl/>
              <w:spacing w:line="360" w:lineRule="auto"/>
              <w:jc w:val="left"/>
              <w:textAlignment w:val="center"/>
              <w:rPr>
                <w:rFonts w:hint="eastAsia" w:ascii="宋体" w:hAnsi="宋体" w:eastAsia="宋体" w:cs="宋体"/>
                <w:color w:val="000000"/>
                <w:kern w:val="0"/>
                <w:sz w:val="21"/>
                <w:szCs w:val="21"/>
                <w:lang w:bidi="ar"/>
              </w:rPr>
            </w:pPr>
          </w:p>
        </w:tc>
      </w:tr>
      <w:tr w14:paraId="03A7D191">
        <w:tblPrEx>
          <w:tblCellMar>
            <w:top w:w="0" w:type="dxa"/>
            <w:left w:w="108" w:type="dxa"/>
            <w:bottom w:w="0" w:type="dxa"/>
            <w:right w:w="108" w:type="dxa"/>
          </w:tblCellMar>
        </w:tblPrEx>
        <w:trPr>
          <w:trHeight w:val="1592" w:hRule="atLeast"/>
          <w:jc w:val="center"/>
        </w:trPr>
        <w:tc>
          <w:tcPr>
            <w:tcW w:w="10065" w:type="dxa"/>
            <w:gridSpan w:val="9"/>
            <w:tcBorders>
              <w:top w:val="single" w:color="000000" w:sz="4" w:space="0"/>
              <w:left w:val="single" w:color="000000" w:sz="4" w:space="0"/>
              <w:bottom w:val="single" w:color="000000" w:sz="4" w:space="0"/>
              <w:right w:val="single" w:color="000000" w:sz="4" w:space="0"/>
            </w:tcBorders>
            <w:noWrap w:val="0"/>
            <w:vAlign w:val="center"/>
          </w:tcPr>
          <w:p w14:paraId="0E5E589C">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说明：</w:t>
            </w:r>
          </w:p>
          <w:p w14:paraId="36370BCC">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1、投标人的投标文件必须标明所投货物的品牌与参数，保证原厂正品供货；</w:t>
            </w:r>
          </w:p>
          <w:p w14:paraId="6F27BF68">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2、本项目三年预计采购量仅供投标人参考；</w:t>
            </w:r>
          </w:p>
          <w:p w14:paraId="7BEFB34E">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3、本项目一次性规划，分步实施，按实结算。本项目货物进入采购人医院SPD管理（费率1.4%）；</w:t>
            </w:r>
          </w:p>
          <w:p w14:paraId="7B256223">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4、投标人所投产品单价不得高于该产品单价限价，否则视为无效响应；</w:t>
            </w:r>
          </w:p>
          <w:p w14:paraId="63A83C00">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5、供货期限内如遇国家、省医保带量采购等相关政策调整，按国家、省医保带量采购等相关政策执行；</w:t>
            </w:r>
          </w:p>
          <w:p w14:paraId="19C7509A">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中标人供货价格计算方式如下：单价最高限价（单价）×中标费率=供货价格（单价）。如所投产品的安徽省医药集中采购中心平台限价低于该项目供货价格（单价），则按平台限价（单价）×中标费率=供货价格（单价）。供货价格（单价）结果保留两位小数。</w:t>
            </w:r>
          </w:p>
          <w:p w14:paraId="0156307C">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lang w:val="en-US" w:eastAsia="zh-CN"/>
              </w:rPr>
            </w:pPr>
            <w:r>
              <w:rPr>
                <w:rFonts w:hint="eastAsia" w:asciiTheme="minorEastAsia" w:hAnsiTheme="minorEastAsia" w:eastAsiaTheme="minorEastAsia" w:cstheme="minorEastAsia"/>
                <w:sz w:val="21"/>
                <w:szCs w:val="21"/>
                <w:lang w:val="en-US" w:eastAsia="zh-CN"/>
              </w:rPr>
              <w:t>7.所投产品如有两票制要求则须执行两票制相关要求；所投产品如安徽省医药集中采购中心有相关要求，则须执行安徽省医药集中采购中心相关要求。</w:t>
            </w:r>
          </w:p>
          <w:p w14:paraId="7552FE20">
            <w:pPr>
              <w:widowControl/>
              <w:spacing w:line="360" w:lineRule="auto"/>
              <w:jc w:val="left"/>
              <w:textAlignment w:val="center"/>
              <w:rPr>
                <w:rFonts w:hint="eastAsia" w:ascii="宋体" w:hAnsi="宋体" w:eastAsia="宋体" w:cs="宋体"/>
                <w:color w:val="000000"/>
                <w:kern w:val="0"/>
                <w:sz w:val="21"/>
                <w:szCs w:val="21"/>
                <w:lang w:bidi="ar"/>
              </w:rPr>
            </w:pPr>
            <w:r>
              <w:rPr>
                <w:rFonts w:hint="eastAsia" w:asciiTheme="minorEastAsia" w:hAnsiTheme="minorEastAsia" w:eastAsiaTheme="minorEastAsia" w:cstheme="minorEastAsia"/>
                <w:sz w:val="21"/>
                <w:szCs w:val="21"/>
                <w:lang w:val="en-US" w:eastAsia="zh-CN"/>
              </w:rPr>
              <w:t>8、最高投标费率：100%。</w:t>
            </w:r>
          </w:p>
        </w:tc>
      </w:tr>
    </w:tbl>
    <w:p w14:paraId="3CD87BB9">
      <w:pPr>
        <w:pStyle w:val="8"/>
        <w:shd w:val="clear" w:color="auto" w:fill="FFFFFF"/>
        <w:spacing w:line="360" w:lineRule="auto"/>
        <w:ind w:left="0" w:leftChars="0" w:firstLine="0" w:firstLineChars="0"/>
        <w:jc w:val="left"/>
        <w:rPr>
          <w:rFonts w:hint="eastAsia" w:asciiTheme="minorEastAsia" w:hAnsiTheme="minorEastAsia" w:eastAsiaTheme="minorEastAsia" w:cstheme="minorEastAsia"/>
          <w:b/>
          <w:sz w:val="21"/>
          <w:szCs w:val="21"/>
        </w:rPr>
      </w:pPr>
    </w:p>
    <w:p w14:paraId="0A542473">
      <w:pPr>
        <w:pStyle w:val="8"/>
        <w:shd w:val="clear" w:color="auto" w:fill="FFFFFF"/>
        <w:spacing w:line="360" w:lineRule="auto"/>
        <w:ind w:firstLine="422" w:firstLineChars="200"/>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二、质量要求</w:t>
      </w:r>
    </w:p>
    <w:p w14:paraId="3ED63FD0">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人提供的货物必须是全新、标识清楚、符合国家规定的质量标准或行业现行标准的要求。没有国家标准和行业标准的，应达到经主管部门批准的企业现行标准要求，符合采购人采购文件和投标人投标文件所要求的技术标准。杜绝证照不全、假冒、伪劣、过期、失效、淘汰或不合格的产品进入医院，否则，投标人承担由此造成的一切后果。</w:t>
      </w:r>
    </w:p>
    <w:p w14:paraId="3995E5A8">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2.保证投标产品的质量，其供货时剩余有效期时间不得少于有效期的2/3。</w:t>
      </w:r>
    </w:p>
    <w:p w14:paraId="75BB0288">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3.保证是原产地生产的原装产品，否则视为假冒伪劣产品。</w:t>
      </w:r>
    </w:p>
    <w:p w14:paraId="13456697">
      <w:pPr>
        <w:pStyle w:val="8"/>
        <w:shd w:val="clear" w:color="auto" w:fill="FFFFFF"/>
        <w:spacing w:line="360" w:lineRule="auto"/>
        <w:ind w:firstLine="422" w:firstLineChars="200"/>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val="en-US" w:eastAsia="zh-CN"/>
        </w:rPr>
        <w:t>三、</w:t>
      </w:r>
      <w:r>
        <w:rPr>
          <w:rFonts w:hint="eastAsia" w:asciiTheme="minorEastAsia" w:hAnsiTheme="minorEastAsia" w:eastAsiaTheme="minorEastAsia" w:cstheme="minorEastAsia"/>
          <w:b/>
          <w:sz w:val="21"/>
          <w:szCs w:val="21"/>
        </w:rPr>
        <w:t>供货期</w:t>
      </w:r>
    </w:p>
    <w:p w14:paraId="545DAE75">
      <w:pPr>
        <w:keepNext w:val="0"/>
        <w:keepLines w:val="0"/>
        <w:pageBreakBefore w:val="0"/>
        <w:kinsoku/>
        <w:wordWrap/>
        <w:overflowPunct/>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自合同执行日起三年或采购费用总额达到该项</w:t>
      </w:r>
      <w:r>
        <w:rPr>
          <w:rFonts w:hint="eastAsia" w:asciiTheme="minorEastAsia" w:hAnsiTheme="minorEastAsia" w:eastAsiaTheme="minorEastAsia" w:cstheme="minorEastAsia"/>
          <w:color w:val="auto"/>
          <w:kern w:val="2"/>
          <w:sz w:val="21"/>
          <w:szCs w:val="21"/>
          <w:lang w:val="en-US" w:eastAsia="zh-CN" w:bidi="ar-SA"/>
        </w:rPr>
        <w:t>目中标总价（预算金额×中标费率）时</w:t>
      </w:r>
      <w:r>
        <w:rPr>
          <w:rFonts w:hint="eastAsia" w:asciiTheme="minorEastAsia" w:hAnsiTheme="minorEastAsia" w:eastAsiaTheme="minorEastAsia" w:cstheme="minorEastAsia"/>
          <w:kern w:val="2"/>
          <w:sz w:val="21"/>
          <w:szCs w:val="21"/>
          <w:lang w:val="en-US" w:eastAsia="zh-CN" w:bidi="ar-SA"/>
        </w:rPr>
        <w:t>，两者以先到者为准，在供货期内按照采购人的要求分批供货，据实结算。</w:t>
      </w:r>
    </w:p>
    <w:p w14:paraId="6F5D4943">
      <w:pPr>
        <w:pStyle w:val="8"/>
        <w:shd w:val="clear" w:color="auto" w:fill="FFFFFF"/>
        <w:spacing w:line="360" w:lineRule="auto"/>
        <w:ind w:firstLine="422" w:firstLineChars="200"/>
        <w:jc w:val="left"/>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四、供货及售后要求</w:t>
      </w:r>
    </w:p>
    <w:p w14:paraId="1A972362">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1.中标人接到采购人供货通知，根据采购人通知的规格型号和数量按计划送货，按照采购人要求送至指定地点，负责运输。</w:t>
      </w:r>
    </w:p>
    <w:p w14:paraId="3A9C8909">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2.中标人根据采购人采购计划进行供货，不允许超计划供货，超出计划的数量，采购人不予验收入库，由中标人无条件带回。</w:t>
      </w:r>
    </w:p>
    <w:p w14:paraId="6B0410A2">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3.中标人所投的品牌货物在供货或使用过程中出现质量和使用问题，采购人有权要求更换，直至采购人满意，且不再另行支付任何费用。</w:t>
      </w:r>
    </w:p>
    <w:p w14:paraId="21A28D3E">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4.按采购人实际需求进行供货，中标人须无条件满足采购人需求，确保供货质量并及时供货。</w:t>
      </w:r>
    </w:p>
    <w:p w14:paraId="3CCCD91F">
      <w:pPr>
        <w:pStyle w:val="8"/>
        <w:shd w:val="clear" w:color="auto" w:fill="FFFFFF"/>
        <w:spacing w:line="360" w:lineRule="auto"/>
        <w:ind w:firstLine="422" w:firstLineChars="200"/>
        <w:jc w:val="left"/>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五、验收</w:t>
      </w:r>
    </w:p>
    <w:p w14:paraId="4BDD8A9E">
      <w:pPr>
        <w:spacing w:line="240" w:lineRule="auto"/>
        <w:ind w:firstLine="420" w:firstLineChars="200"/>
        <w:rPr>
          <w:rFonts w:hint="eastAsia" w:asciiTheme="minorEastAsia" w:hAnsiTheme="minorEastAsia" w:eastAsiaTheme="minorEastAsia" w:cstheme="minorEastAsia"/>
          <w:b/>
          <w:kern w:val="2"/>
          <w:sz w:val="21"/>
          <w:szCs w:val="21"/>
          <w:lang w:val="en-US" w:eastAsia="zh-CN" w:bidi="ar-SA"/>
        </w:rPr>
      </w:pPr>
      <w:r>
        <w:rPr>
          <w:rFonts w:hint="eastAsia" w:asciiTheme="minorEastAsia" w:hAnsiTheme="minorEastAsia" w:eastAsiaTheme="minorEastAsia" w:cstheme="minorEastAsia"/>
          <w:sz w:val="21"/>
          <w:szCs w:val="21"/>
        </w:rPr>
        <w:t>验收时采购人和中标人双方共同实施验收工作，验收合格后，结果和验收报告经双方确认后生效。</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b/>
          <w:kern w:val="2"/>
          <w:sz w:val="21"/>
          <w:szCs w:val="21"/>
          <w:lang w:val="en-US" w:eastAsia="zh-CN" w:bidi="ar-SA"/>
        </w:rPr>
        <w:t>六、付款方式</w:t>
      </w:r>
      <w:bookmarkStart w:id="2" w:name="_GoBack"/>
      <w:bookmarkEnd w:id="2"/>
    </w:p>
    <w:bookmarkEnd w:id="0"/>
    <w:bookmarkEnd w:id="1"/>
    <w:p w14:paraId="7D0C5AA4">
      <w:pPr>
        <w:widowControl/>
        <w:spacing w:line="360" w:lineRule="auto"/>
        <w:ind w:firstLine="422" w:firstLineChars="20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1、分批供货，根据每月实际使用量入账，按采购人规定结算，即从采购人收到中标人开具的增值税发票之日起六个月后支付与发票金额相应的货款。</w:t>
      </w:r>
    </w:p>
    <w:p w14:paraId="06587507">
      <w:pPr>
        <w:spacing w:line="360" w:lineRule="auto"/>
        <w:ind w:firstLine="422" w:firstLineChars="200"/>
        <w:rPr>
          <w:rFonts w:hint="eastAsia" w:asciiTheme="minorEastAsia" w:hAnsiTheme="minorEastAsia" w:eastAsiaTheme="minorEastAsia" w:cstheme="minorEastAsia"/>
          <w:color w:val="auto"/>
          <w:sz w:val="21"/>
          <w:szCs w:val="21"/>
          <w:lang w:eastAsia="zh-CN"/>
        </w:rPr>
        <w:sectPr>
          <w:footerReference r:id="rId3" w:type="default"/>
          <w:pgSz w:w="11906" w:h="16838"/>
          <w:pgMar w:top="1417" w:right="1417" w:bottom="1417" w:left="1417" w:header="680" w:footer="680" w:gutter="0"/>
          <w:pgNumType w:fmt="decimal" w:start="1"/>
          <w:cols w:space="720" w:num="1"/>
          <w:docGrid w:type="lines" w:linePitch="312" w:charSpace="0"/>
        </w:sectPr>
      </w:pPr>
      <w:r>
        <w:rPr>
          <w:rFonts w:hint="eastAsia" w:asciiTheme="minorEastAsia" w:hAnsiTheme="minorEastAsia" w:eastAsiaTheme="minorEastAsia" w:cstheme="minorEastAsia"/>
          <w:b/>
          <w:bCs/>
          <w:color w:val="auto"/>
          <w:sz w:val="21"/>
          <w:szCs w:val="21"/>
        </w:rPr>
        <w:t>2、采购人付款前，中标人应向采购人开具等额有效的增值税发票，中标人开票载明主体需与合同主体一致,采购人未收到发票或收到发票与合同主体不一致的,有权不予支付相应款项直至中标人提供合格发票，并不承担延迟付款责任</w:t>
      </w:r>
      <w:r>
        <w:rPr>
          <w:rFonts w:hint="eastAsia" w:asciiTheme="minorEastAsia" w:hAnsiTheme="minorEastAsia" w:eastAsiaTheme="minorEastAsia" w:cstheme="minorEastAsia"/>
          <w:b/>
          <w:bCs/>
          <w:color w:val="auto"/>
          <w:sz w:val="21"/>
          <w:szCs w:val="21"/>
          <w:lang w:eastAsia="zh-CN"/>
        </w:rPr>
        <w:t>。</w:t>
      </w:r>
    </w:p>
    <w:p w14:paraId="7A399B1D"/>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0D317">
    <w:pPr>
      <w:pStyle w:val="4"/>
      <w:pBdr>
        <w:top w:val="single" w:color="auto" w:sz="4" w:space="1"/>
      </w:pBdr>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7A4F9">
                          <w:pPr>
                            <w:pStyle w:val="4"/>
                          </w:pPr>
                          <w:r>
                            <w:fldChar w:fldCharType="begin"/>
                          </w:r>
                          <w:r>
                            <w:instrText xml:space="preserve"> PAGE  \* MERGEFORMAT </w:instrText>
                          </w:r>
                          <w:r>
                            <w:fldChar w:fldCharType="separate"/>
                          </w:r>
                          <w:r>
                            <w:t>一</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97A4F9">
                    <w:pPr>
                      <w:pStyle w:val="4"/>
                    </w:pPr>
                    <w:r>
                      <w:fldChar w:fldCharType="begin"/>
                    </w:r>
                    <w:r>
                      <w:instrText xml:space="preserve"> PAGE  \* MERGEFORMAT </w:instrText>
                    </w:r>
                    <w:r>
                      <w:fldChar w:fldCharType="separate"/>
                    </w:r>
                    <w:r>
                      <w:t>一</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85DDD">
    <w:pPr>
      <w:pStyle w:val="4"/>
      <w:pBdr>
        <w:top w:val="single" w:color="auto" w:sz="4" w:space="1"/>
      </w:pBdr>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4F3CE">
                          <w:pPr>
                            <w:pStyle w:val="4"/>
                          </w:pPr>
                          <w:r>
                            <w:fldChar w:fldCharType="begin"/>
                          </w:r>
                          <w:r>
                            <w:instrText xml:space="preserve"> PAGE  \* MERGEFORMAT </w:instrText>
                          </w:r>
                          <w:r>
                            <w:fldChar w:fldCharType="separate"/>
                          </w:r>
                          <w:r>
                            <w:t>一</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44F3CE">
                    <w:pPr>
                      <w:pStyle w:val="4"/>
                    </w:pPr>
                    <w:r>
                      <w:fldChar w:fldCharType="begin"/>
                    </w:r>
                    <w:r>
                      <w:instrText xml:space="preserve"> PAGE  \* MERGEFORMAT </w:instrText>
                    </w:r>
                    <w:r>
                      <w:fldChar w:fldCharType="separate"/>
                    </w:r>
                    <w:r>
                      <w:t>一</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03276"/>
    <w:rsid w:val="11DC1198"/>
    <w:rsid w:val="560505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sz w:val="20"/>
    </w:rPr>
  </w:style>
  <w:style w:type="paragraph" w:styleId="4">
    <w:name w:val="footer"/>
    <w:basedOn w:val="1"/>
    <w:qFormat/>
    <w:uiPriority w:val="0"/>
    <w:pPr>
      <w:tabs>
        <w:tab w:val="center" w:pos="4153"/>
        <w:tab w:val="right" w:pos="8306"/>
      </w:tabs>
      <w:snapToGrid w:val="0"/>
      <w:jc w:val="left"/>
    </w:pPr>
    <w:rPr>
      <w:sz w:val="18"/>
      <w:szCs w:val="18"/>
    </w:rPr>
  </w:style>
  <w:style w:type="character" w:customStyle="1" w:styleId="7">
    <w:name w:val="font21"/>
    <w:basedOn w:val="6"/>
    <w:qFormat/>
    <w:uiPriority w:val="0"/>
    <w:rPr>
      <w:rFonts w:hint="eastAsia" w:ascii="宋体" w:hAnsi="宋体" w:eastAsia="宋体" w:cs="宋体"/>
      <w:color w:val="000000"/>
      <w:sz w:val="18"/>
      <w:szCs w:val="18"/>
      <w:u w:val="none"/>
    </w:rPr>
  </w:style>
  <w:style w:type="paragraph" w:styleId="8">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1227</Words>
  <Characters>1291</Characters>
  <Lines>0</Lines>
  <Paragraphs>0</Paragraphs>
  <TotalTime>0</TotalTime>
  <ScaleCrop>false</ScaleCrop>
  <LinksUpToDate>false</LinksUpToDate>
  <CharactersWithSpaces>1530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mac</dc:creator>
  <cp:lastModifiedBy>大风起兮～</cp:lastModifiedBy>
  <dcterms:modified xsi:type="dcterms:W3CDTF">2025-11-12T08:54:03Z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eyJoZGlkIjoiZTVhNjI3MTkyMzg4OTUxMDlhMTZkNjM1NzI5NmMxZjkiLCJ1c2VySWQiOiI5MjI3MjA0MTMifQ==</vt:lpwstr>
  </property>
  <property fmtid="{D5CDD505-2E9C-101B-9397-08002B2CF9AE}" pid="4" name="ICV">
    <vt:lpwstr>DFD88D93A5A2411BA4E81455118EDD5C_12</vt:lpwstr>
  </property>
</Properties>
</file>